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0DA2E" w14:textId="2CDA1733" w:rsidR="00840A4B" w:rsidRPr="00823959" w:rsidRDefault="00840A4B" w:rsidP="00840A4B">
      <w:pPr>
        <w:pStyle w:val="Header"/>
        <w:tabs>
          <w:tab w:val="right" w:pos="9072"/>
        </w:tabs>
        <w:rPr>
          <w:rFonts w:ascii="Arial" w:hAnsi="Arial" w:cs="Arial"/>
          <w:b/>
          <w:bCs/>
          <w:szCs w:val="28"/>
          <w:lang w:val="en-CA"/>
        </w:rPr>
      </w:pPr>
      <w:bookmarkStart w:id="0" w:name="_Hlk67474238"/>
      <w:bookmarkEnd w:id="0"/>
      <w:r w:rsidRPr="00823959">
        <w:rPr>
          <w:rFonts w:ascii="Arial" w:hAnsi="Arial" w:cs="Arial"/>
          <w:b/>
          <w:bCs/>
          <w:szCs w:val="28"/>
          <w:lang w:val="en-CA"/>
        </w:rPr>
        <w:t>3GPP TSG RAN WG4 Meeting #11</w:t>
      </w:r>
      <w:r w:rsidR="001645E5">
        <w:rPr>
          <w:rFonts w:ascii="Arial" w:hAnsi="Arial" w:cs="Arial"/>
          <w:b/>
          <w:bCs/>
          <w:szCs w:val="28"/>
          <w:lang w:val="en-CA"/>
        </w:rPr>
        <w:t>1</w:t>
      </w:r>
      <w:r w:rsidRPr="00823959">
        <w:rPr>
          <w:rFonts w:ascii="Arial" w:hAnsi="Arial" w:cs="Arial"/>
          <w:b/>
          <w:bCs/>
          <w:szCs w:val="28"/>
          <w:lang w:val="en-CA"/>
        </w:rPr>
        <w:tab/>
        <w:t>R4-2</w:t>
      </w:r>
      <w:r>
        <w:rPr>
          <w:rFonts w:ascii="Arial" w:hAnsi="Arial" w:cs="Arial"/>
          <w:b/>
          <w:bCs/>
          <w:szCs w:val="28"/>
          <w:lang w:val="en-CA"/>
        </w:rPr>
        <w:t>40</w:t>
      </w:r>
      <w:r w:rsidR="00A37133">
        <w:rPr>
          <w:rFonts w:ascii="Arial" w:hAnsi="Arial" w:cs="Arial"/>
          <w:b/>
          <w:bCs/>
          <w:szCs w:val="28"/>
          <w:lang w:val="en-CA"/>
        </w:rPr>
        <w:t>9722</w:t>
      </w:r>
    </w:p>
    <w:p w14:paraId="5B1F1351" w14:textId="792D8A7C" w:rsidR="00840A4B" w:rsidRPr="00823959" w:rsidRDefault="001645E5" w:rsidP="00840A4B">
      <w:pPr>
        <w:pStyle w:val="Header"/>
        <w:tabs>
          <w:tab w:val="right" w:pos="9072"/>
        </w:tabs>
        <w:rPr>
          <w:rFonts w:ascii="Arial" w:hAnsi="Arial" w:cs="Arial"/>
          <w:b/>
          <w:bCs/>
          <w:szCs w:val="28"/>
          <w:lang w:val="en-CA"/>
        </w:rPr>
      </w:pPr>
      <w:r>
        <w:rPr>
          <w:rFonts w:ascii="Arial" w:hAnsi="Arial" w:cs="Arial"/>
          <w:b/>
          <w:bCs/>
          <w:szCs w:val="28"/>
          <w:lang w:val="en-CA"/>
        </w:rPr>
        <w:t>Fukuoka</w:t>
      </w:r>
      <w:r w:rsidR="00840A4B">
        <w:rPr>
          <w:rFonts w:ascii="Arial" w:hAnsi="Arial" w:cs="Arial"/>
          <w:b/>
          <w:bCs/>
          <w:szCs w:val="28"/>
          <w:lang w:val="en-CA"/>
        </w:rPr>
        <w:t>,</w:t>
      </w:r>
      <w:r w:rsidR="00840A4B" w:rsidRPr="00823959">
        <w:rPr>
          <w:rFonts w:ascii="Arial" w:hAnsi="Arial" w:cs="Arial"/>
          <w:b/>
          <w:bCs/>
          <w:szCs w:val="28"/>
          <w:lang w:val="en-CA"/>
        </w:rPr>
        <w:t xml:space="preserve"> </w:t>
      </w:r>
      <w:r>
        <w:rPr>
          <w:rFonts w:ascii="Arial" w:hAnsi="Arial" w:cs="Arial"/>
          <w:b/>
          <w:bCs/>
          <w:szCs w:val="28"/>
          <w:lang w:val="en-CA"/>
        </w:rPr>
        <w:t>Japan</w:t>
      </w:r>
      <w:r w:rsidR="00840A4B" w:rsidRPr="00823959">
        <w:rPr>
          <w:rFonts w:ascii="Arial" w:hAnsi="Arial" w:cs="Arial"/>
          <w:b/>
          <w:bCs/>
          <w:szCs w:val="28"/>
          <w:lang w:val="en-CA"/>
        </w:rPr>
        <w:t xml:space="preserve">, </w:t>
      </w:r>
      <w:r>
        <w:rPr>
          <w:rFonts w:ascii="Arial" w:hAnsi="Arial" w:cs="Arial"/>
          <w:b/>
          <w:bCs/>
          <w:szCs w:val="28"/>
          <w:lang w:val="en-CA"/>
        </w:rPr>
        <w:t xml:space="preserve">20 May </w:t>
      </w:r>
      <w:r w:rsidR="00840A4B" w:rsidRPr="00823959">
        <w:rPr>
          <w:rFonts w:ascii="Arial" w:hAnsi="Arial" w:cs="Arial"/>
          <w:b/>
          <w:bCs/>
          <w:szCs w:val="28"/>
          <w:lang w:val="en-CA"/>
        </w:rPr>
        <w:t xml:space="preserve">2024 – </w:t>
      </w:r>
      <w:r>
        <w:rPr>
          <w:rFonts w:ascii="Arial" w:hAnsi="Arial" w:cs="Arial"/>
          <w:b/>
          <w:bCs/>
          <w:szCs w:val="28"/>
          <w:lang w:val="en-CA"/>
        </w:rPr>
        <w:t xml:space="preserve">24 May </w:t>
      </w:r>
      <w:r w:rsidR="00840A4B" w:rsidRPr="00823959">
        <w:rPr>
          <w:rFonts w:ascii="Arial" w:hAnsi="Arial" w:cs="Arial"/>
          <w:b/>
          <w:bCs/>
          <w:szCs w:val="28"/>
          <w:lang w:val="en-CA"/>
        </w:rPr>
        <w:t>2024</w:t>
      </w:r>
    </w:p>
    <w:p w14:paraId="5DD118D4" w14:textId="675B8297"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2D011F">
        <w:rPr>
          <w:rFonts w:ascii="Arial" w:hAnsi="Arial" w:cs="Arial"/>
          <w:bCs/>
          <w:sz w:val="22"/>
          <w:szCs w:val="22"/>
          <w:lang w:val="en-GB"/>
        </w:rPr>
        <w:t>7</w:t>
      </w:r>
      <w:r w:rsidR="00A907B5">
        <w:rPr>
          <w:rFonts w:ascii="Arial" w:hAnsi="Arial" w:cs="Arial"/>
          <w:bCs/>
          <w:sz w:val="22"/>
          <w:szCs w:val="22"/>
          <w:lang w:val="en-GB"/>
        </w:rPr>
        <w:t>.19.</w:t>
      </w:r>
      <w:r w:rsidR="002D011F">
        <w:rPr>
          <w:rFonts w:ascii="Arial" w:hAnsi="Arial" w:cs="Arial"/>
          <w:bCs/>
          <w:sz w:val="22"/>
          <w:szCs w:val="22"/>
          <w:lang w:val="en-GB"/>
        </w:rPr>
        <w:t>2</w:t>
      </w:r>
      <w:r w:rsidR="00A907B5">
        <w:rPr>
          <w:rFonts w:ascii="Arial" w:hAnsi="Arial" w:cs="Arial"/>
          <w:bCs/>
          <w:sz w:val="22"/>
          <w:szCs w:val="22"/>
          <w:lang w:val="en-GB"/>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5635A0C"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1" w:name="OLE_LINK13"/>
      <w:bookmarkStart w:id="2" w:name="OLE_LINK14"/>
    </w:p>
    <w:p w14:paraId="63C305C6" w14:textId="48DA4BF6" w:rsidR="00FF5767" w:rsidRDefault="001F02BA" w:rsidP="00FA32B5">
      <w:pPr>
        <w:jc w:val="both"/>
        <w:rPr>
          <w:sz w:val="22"/>
          <w:szCs w:val="22"/>
          <w:lang w:val="en-GB"/>
        </w:rPr>
      </w:pPr>
      <w:r>
        <w:rPr>
          <w:sz w:val="22"/>
          <w:szCs w:val="22"/>
          <w:lang w:val="en-GB" w:eastAsia="x-none"/>
        </w:rPr>
        <w:t xml:space="preserve">We discuss test </w:t>
      </w:r>
      <w:r w:rsidR="003653FC">
        <w:rPr>
          <w:sz w:val="22"/>
          <w:szCs w:val="22"/>
          <w:lang w:val="en-GB" w:eastAsia="x-none"/>
        </w:rPr>
        <w:t>configuration of unified TCI state switching</w:t>
      </w:r>
      <w:r>
        <w:rPr>
          <w:sz w:val="22"/>
          <w:szCs w:val="22"/>
          <w:lang w:val="en-GB" w:eastAsia="x-none"/>
        </w:rPr>
        <w:t xml:space="preserve"> in this paper</w:t>
      </w:r>
      <w:r w:rsidR="00FA32B5">
        <w:rPr>
          <w:sz w:val="22"/>
          <w:szCs w:val="22"/>
          <w:lang w:val="en-GB" w:eastAsia="x-none"/>
        </w:rPr>
        <w:t xml:space="preserve">. </w:t>
      </w:r>
    </w:p>
    <w:p w14:paraId="46B976F3" w14:textId="77777777" w:rsidR="004E1614" w:rsidRDefault="00A17509" w:rsidP="004E1614">
      <w:pPr>
        <w:pStyle w:val="Heading1"/>
        <w:ind w:right="72"/>
        <w:rPr>
          <w:lang w:val="sv-SE"/>
        </w:rPr>
      </w:pPr>
      <w:r w:rsidRPr="002E3092">
        <w:rPr>
          <w:lang w:val="sv-SE"/>
        </w:rPr>
        <w:t>Discussion</w:t>
      </w:r>
    </w:p>
    <w:p w14:paraId="2C1C61A5" w14:textId="640E3741" w:rsidR="004C67B1" w:rsidRDefault="006A0F9F" w:rsidP="006A124C">
      <w:pPr>
        <w:rPr>
          <w:sz w:val="22"/>
          <w:szCs w:val="22"/>
          <w:u w:val="single"/>
          <w:lang w:val="en-GB"/>
        </w:rPr>
      </w:pPr>
      <w:r w:rsidRPr="006A0F9F">
        <w:rPr>
          <w:sz w:val="22"/>
          <w:szCs w:val="22"/>
          <w:u w:val="single"/>
          <w:lang w:val="en-GB"/>
        </w:rPr>
        <w:t>Unified TCI state switching for mTRP</w:t>
      </w:r>
      <w:r>
        <w:rPr>
          <w:sz w:val="22"/>
          <w:szCs w:val="22"/>
          <w:u w:val="single"/>
          <w:lang w:val="en-GB"/>
        </w:rPr>
        <w:t>:</w:t>
      </w:r>
    </w:p>
    <w:p w14:paraId="3B5A4183" w14:textId="433241CD" w:rsidR="00D456EB" w:rsidRDefault="007513F3" w:rsidP="006A124C">
      <w:pPr>
        <w:rPr>
          <w:sz w:val="22"/>
          <w:szCs w:val="22"/>
          <w:lang w:val="en-GB"/>
        </w:rPr>
      </w:pPr>
      <w:r>
        <w:rPr>
          <w:sz w:val="22"/>
          <w:szCs w:val="22"/>
          <w:lang w:val="en-GB"/>
        </w:rPr>
        <w:t xml:space="preserve">One </w:t>
      </w:r>
      <w:r w:rsidR="00D456EB">
        <w:rPr>
          <w:sz w:val="22"/>
          <w:szCs w:val="22"/>
          <w:lang w:val="en-GB"/>
        </w:rPr>
        <w:t>of</w:t>
      </w:r>
      <w:r>
        <w:rPr>
          <w:sz w:val="22"/>
          <w:szCs w:val="22"/>
          <w:lang w:val="en-GB"/>
        </w:rPr>
        <w:t xml:space="preserve"> the open </w:t>
      </w:r>
      <w:r w:rsidR="00D456EB">
        <w:rPr>
          <w:sz w:val="22"/>
          <w:szCs w:val="22"/>
          <w:lang w:val="en-GB"/>
        </w:rPr>
        <w:t>issues</w:t>
      </w:r>
      <w:r>
        <w:rPr>
          <w:sz w:val="22"/>
          <w:szCs w:val="22"/>
          <w:lang w:val="en-GB"/>
        </w:rPr>
        <w:t xml:space="preserve"> in the </w:t>
      </w:r>
      <w:r w:rsidR="00D456EB">
        <w:rPr>
          <w:sz w:val="22"/>
          <w:szCs w:val="22"/>
          <w:lang w:val="en-GB"/>
        </w:rPr>
        <w:t>test</w:t>
      </w:r>
      <w:r>
        <w:rPr>
          <w:sz w:val="22"/>
          <w:szCs w:val="22"/>
          <w:lang w:val="en-GB"/>
        </w:rPr>
        <w:t xml:space="preserve"> case discussion is the test </w:t>
      </w:r>
      <w:r w:rsidR="00C70E95">
        <w:rPr>
          <w:sz w:val="22"/>
          <w:szCs w:val="22"/>
          <w:lang w:val="en-GB"/>
        </w:rPr>
        <w:t xml:space="preserve">configuration </w:t>
      </w:r>
      <w:r>
        <w:rPr>
          <w:sz w:val="22"/>
          <w:szCs w:val="22"/>
          <w:lang w:val="en-GB"/>
        </w:rPr>
        <w:t>for the sDCI</w:t>
      </w:r>
      <w:r w:rsidR="00C70E95">
        <w:rPr>
          <w:sz w:val="22"/>
          <w:szCs w:val="22"/>
          <w:lang w:val="en-GB"/>
        </w:rPr>
        <w:t xml:space="preserve">. </w:t>
      </w:r>
      <w:r w:rsidR="00D456EB">
        <w:rPr>
          <w:sz w:val="22"/>
          <w:szCs w:val="22"/>
          <w:lang w:val="en-GB"/>
        </w:rPr>
        <w:t xml:space="preserve"> </w:t>
      </w:r>
    </w:p>
    <w:p w14:paraId="362311B0" w14:textId="10EF0F8D" w:rsidR="00EA33A0" w:rsidRDefault="006635EC" w:rsidP="006A124C">
      <w:pPr>
        <w:rPr>
          <w:sz w:val="22"/>
          <w:szCs w:val="22"/>
          <w:lang w:val="en-GB"/>
        </w:rPr>
      </w:pPr>
      <w:r>
        <w:rPr>
          <w:sz w:val="22"/>
          <w:szCs w:val="22"/>
          <w:lang w:val="en-GB"/>
        </w:rPr>
        <w:t xml:space="preserve">We would like to test the joint TCI state with dual TCI state switching. In this case UE needs </w:t>
      </w:r>
      <w:r w:rsidR="007E23F7">
        <w:rPr>
          <w:sz w:val="22"/>
          <w:szCs w:val="22"/>
          <w:lang w:val="en-GB"/>
        </w:rPr>
        <w:t>one</w:t>
      </w:r>
      <w:r>
        <w:rPr>
          <w:sz w:val="22"/>
          <w:szCs w:val="22"/>
          <w:lang w:val="en-GB"/>
        </w:rPr>
        <w:t xml:space="preserve"> probe to each TRP</w:t>
      </w:r>
      <w:r w:rsidR="007E23F7">
        <w:rPr>
          <w:sz w:val="22"/>
          <w:szCs w:val="22"/>
          <w:lang w:val="en-GB"/>
        </w:rPr>
        <w:t xml:space="preserve"> and </w:t>
      </w:r>
      <w:r w:rsidR="00E215D9">
        <w:rPr>
          <w:sz w:val="22"/>
          <w:szCs w:val="22"/>
          <w:lang w:val="en-GB"/>
        </w:rPr>
        <w:t>thereby</w:t>
      </w:r>
      <w:r w:rsidR="007E23F7">
        <w:rPr>
          <w:sz w:val="22"/>
          <w:szCs w:val="22"/>
          <w:lang w:val="en-GB"/>
        </w:rPr>
        <w:t xml:space="preserve"> making </w:t>
      </w:r>
      <w:r w:rsidR="00804865">
        <w:rPr>
          <w:sz w:val="22"/>
          <w:szCs w:val="22"/>
          <w:lang w:val="en-GB"/>
        </w:rPr>
        <w:t xml:space="preserve">it </w:t>
      </w:r>
      <w:r w:rsidR="007E23F7">
        <w:rPr>
          <w:sz w:val="22"/>
          <w:szCs w:val="22"/>
          <w:lang w:val="en-GB"/>
        </w:rPr>
        <w:t>two probes. Since simultaneous reception is not considered, the probes need not be active simultaneously.</w:t>
      </w:r>
      <w:r w:rsidR="00895633">
        <w:rPr>
          <w:sz w:val="22"/>
          <w:szCs w:val="22"/>
          <w:lang w:val="en-GB"/>
        </w:rPr>
        <w:t xml:space="preserve"> In this test, we can assume that at T0 UE is connected to one TRP using one joint TCI state.</w:t>
      </w:r>
      <w:r w:rsidR="006673A0">
        <w:rPr>
          <w:sz w:val="22"/>
          <w:szCs w:val="22"/>
          <w:lang w:val="en-GB"/>
        </w:rPr>
        <w:t xml:space="preserve"> During T</w:t>
      </w:r>
      <w:r w:rsidR="00834999">
        <w:rPr>
          <w:sz w:val="22"/>
          <w:szCs w:val="22"/>
          <w:lang w:val="en-GB"/>
        </w:rPr>
        <w:t>1</w:t>
      </w:r>
      <w:r w:rsidR="006673A0">
        <w:rPr>
          <w:sz w:val="22"/>
          <w:szCs w:val="22"/>
          <w:lang w:val="en-GB"/>
        </w:rPr>
        <w:t xml:space="preserve">, NW configures UE with other TRP and switches the single TCI state to dual TCI state using sDCI. </w:t>
      </w:r>
    </w:p>
    <w:p w14:paraId="6224432A" w14:textId="30CD11AA" w:rsidR="00D45D94" w:rsidRPr="000B6E3A" w:rsidRDefault="00B3002E" w:rsidP="000B6E3A">
      <w:pPr>
        <w:pStyle w:val="ListParagraph"/>
        <w:numPr>
          <w:ilvl w:val="0"/>
          <w:numId w:val="30"/>
        </w:numPr>
        <w:jc w:val="both"/>
        <w:rPr>
          <w:sz w:val="22"/>
          <w:szCs w:val="22"/>
          <w:lang w:val="en-GB"/>
        </w:rPr>
      </w:pPr>
      <w:r w:rsidRPr="000B6E3A">
        <w:rPr>
          <w:sz w:val="22"/>
          <w:szCs w:val="22"/>
          <w:lang w:val="en-GB"/>
        </w:rPr>
        <w:t xml:space="preserve">sDCI based MAC CE based </w:t>
      </w:r>
      <w:r w:rsidR="00D45D94" w:rsidRPr="000B6E3A">
        <w:rPr>
          <w:sz w:val="22"/>
          <w:szCs w:val="22"/>
          <w:lang w:val="en-GB"/>
        </w:rPr>
        <w:t xml:space="preserve">unified TCI state switching should be tested </w:t>
      </w:r>
      <w:r w:rsidR="00C31C0E" w:rsidRPr="000B6E3A">
        <w:rPr>
          <w:sz w:val="22"/>
          <w:szCs w:val="22"/>
          <w:lang w:val="en-GB"/>
        </w:rPr>
        <w:t>for</w:t>
      </w:r>
      <w:r w:rsidR="000B6E3A" w:rsidRPr="000B6E3A">
        <w:rPr>
          <w:sz w:val="22"/>
          <w:szCs w:val="22"/>
          <w:lang w:val="en-GB"/>
        </w:rPr>
        <w:t xml:space="preserve"> </w:t>
      </w:r>
      <w:r w:rsidR="00D45D94" w:rsidRPr="000B6E3A">
        <w:rPr>
          <w:sz w:val="22"/>
          <w:szCs w:val="22"/>
          <w:lang w:val="en-GB"/>
        </w:rPr>
        <w:t xml:space="preserve">joint TCI state </w:t>
      </w:r>
      <w:r w:rsidR="00B2485C" w:rsidRPr="000B6E3A">
        <w:rPr>
          <w:sz w:val="22"/>
          <w:szCs w:val="22"/>
          <w:lang w:val="en-GB"/>
        </w:rPr>
        <w:t>switching</w:t>
      </w:r>
      <w:r w:rsidR="00D45D94" w:rsidRPr="000B6E3A">
        <w:rPr>
          <w:sz w:val="22"/>
          <w:szCs w:val="22"/>
          <w:lang w:val="en-GB"/>
        </w:rPr>
        <w:t xml:space="preserve"> </w:t>
      </w:r>
      <w:r w:rsidR="00865506" w:rsidRPr="000B6E3A">
        <w:rPr>
          <w:sz w:val="22"/>
          <w:szCs w:val="22"/>
          <w:lang w:val="en-GB"/>
        </w:rPr>
        <w:t xml:space="preserve">for single to dual TCI state switching </w:t>
      </w:r>
    </w:p>
    <w:p w14:paraId="18B0B050" w14:textId="77777777" w:rsidR="00651AB4" w:rsidRPr="0058127F" w:rsidRDefault="00651AB4" w:rsidP="006A124C">
      <w:pPr>
        <w:rPr>
          <w:sz w:val="22"/>
          <w:szCs w:val="22"/>
          <w:lang w:val="en-GB"/>
        </w:rPr>
      </w:pPr>
    </w:p>
    <w:bookmarkEnd w:id="1"/>
    <w:bookmarkEnd w:id="2"/>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53722F">
      <w:pPr>
        <w:rPr>
          <w:sz w:val="22"/>
          <w:szCs w:val="22"/>
          <w:lang w:eastAsia="x-none"/>
        </w:rPr>
      </w:pPr>
      <w:r w:rsidRPr="00E253F1">
        <w:rPr>
          <w:sz w:val="22"/>
          <w:szCs w:val="22"/>
          <w:lang w:eastAsia="x-none"/>
        </w:rPr>
        <w:t>The following have been proposed in this contribution.</w:t>
      </w:r>
    </w:p>
    <w:p w14:paraId="2F4527E3" w14:textId="71EEA83D" w:rsidR="000B6E3A" w:rsidRPr="000B6E3A" w:rsidRDefault="000B6E3A" w:rsidP="000B6E3A">
      <w:pPr>
        <w:pStyle w:val="ListParagraph"/>
        <w:numPr>
          <w:ilvl w:val="0"/>
          <w:numId w:val="39"/>
        </w:numPr>
        <w:jc w:val="both"/>
        <w:rPr>
          <w:sz w:val="22"/>
          <w:szCs w:val="22"/>
          <w:lang w:val="en-GB"/>
        </w:rPr>
      </w:pPr>
      <w:r w:rsidRPr="000B6E3A">
        <w:rPr>
          <w:sz w:val="22"/>
          <w:szCs w:val="22"/>
          <w:lang w:val="en-GB"/>
        </w:rPr>
        <w:t>sDCI based MAC CE based unified TCI state switching should be tested for joint TCI state switching for single to dual TCI state switching</w:t>
      </w:r>
      <w:r>
        <w:rPr>
          <w:sz w:val="22"/>
          <w:szCs w:val="22"/>
          <w:lang w:val="en-GB"/>
        </w:rPr>
        <w:t>.</w:t>
      </w:r>
      <w:r w:rsidRPr="000B6E3A">
        <w:rPr>
          <w:sz w:val="22"/>
          <w:szCs w:val="22"/>
          <w:lang w:val="en-GB"/>
        </w:rPr>
        <w:t xml:space="preserve"> </w:t>
      </w: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E43C5BE" w:rsidR="004E6E9B" w:rsidRDefault="00196337" w:rsidP="004E6E9B">
      <w:pPr>
        <w:rPr>
          <w:lang w:eastAsia="x-none"/>
        </w:rPr>
      </w:pPr>
      <w:r w:rsidRPr="001E53B7">
        <w:rPr>
          <w:lang w:eastAsia="x-none"/>
        </w:rPr>
        <w:t xml:space="preserve">[1] </w:t>
      </w:r>
      <w:r w:rsidR="00870D47">
        <w:rPr>
          <w:lang w:eastAsia="x-none"/>
        </w:rPr>
        <w:t>R4-2</w:t>
      </w:r>
      <w:r w:rsidR="00FC361E">
        <w:rPr>
          <w:lang w:eastAsia="x-none"/>
        </w:rPr>
        <w:t>406503</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0A4CA" w14:textId="77777777" w:rsidR="00104096" w:rsidRDefault="00104096">
      <w:r>
        <w:separator/>
      </w:r>
    </w:p>
  </w:endnote>
  <w:endnote w:type="continuationSeparator" w:id="0">
    <w:p w14:paraId="76963BE4" w14:textId="77777777" w:rsidR="00104096" w:rsidRDefault="00104096">
      <w:r>
        <w:continuationSeparator/>
      </w:r>
    </w:p>
  </w:endnote>
  <w:endnote w:type="continuationNotice" w:id="1">
    <w:p w14:paraId="05B15B1C" w14:textId="77777777" w:rsidR="00104096" w:rsidRDefault="00104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53612" w14:textId="77777777" w:rsidR="00104096" w:rsidRDefault="00104096">
      <w:r>
        <w:separator/>
      </w:r>
    </w:p>
  </w:footnote>
  <w:footnote w:type="continuationSeparator" w:id="0">
    <w:p w14:paraId="060F1F72" w14:textId="77777777" w:rsidR="00104096" w:rsidRDefault="00104096">
      <w:r>
        <w:continuationSeparator/>
      </w:r>
    </w:p>
  </w:footnote>
  <w:footnote w:type="continuationNotice" w:id="1">
    <w:p w14:paraId="6B8D315B" w14:textId="77777777" w:rsidR="00104096" w:rsidRDefault="001040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4B80"/>
    <w:multiLevelType w:val="hybridMultilevel"/>
    <w:tmpl w:val="71400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670881"/>
    <w:multiLevelType w:val="hybridMultilevel"/>
    <w:tmpl w:val="61BE3220"/>
    <w:lvl w:ilvl="0" w:tplc="7FD0B8B0">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F065C8"/>
    <w:multiLevelType w:val="hybridMultilevel"/>
    <w:tmpl w:val="0CE05070"/>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3D5E7888"/>
    <w:multiLevelType w:val="hybridMultilevel"/>
    <w:tmpl w:val="8E1EA98E"/>
    <w:lvl w:ilvl="0" w:tplc="20000017">
      <w:start w:val="1"/>
      <w:numFmt w:val="lowerLetter"/>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576D5B"/>
    <w:multiLevelType w:val="hybridMultilevel"/>
    <w:tmpl w:val="0CE05070"/>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ED35ACF"/>
    <w:multiLevelType w:val="hybridMultilevel"/>
    <w:tmpl w:val="BDCE1EBA"/>
    <w:lvl w:ilvl="0" w:tplc="08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0"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61F6685"/>
    <w:multiLevelType w:val="hybridMultilevel"/>
    <w:tmpl w:val="708893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87B58FF"/>
    <w:multiLevelType w:val="hybridMultilevel"/>
    <w:tmpl w:val="EE62E60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B7547"/>
    <w:multiLevelType w:val="hybridMultilevel"/>
    <w:tmpl w:val="3FB689D6"/>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DA32612C">
      <w:start w:val="1"/>
      <w:numFmt w:val="decimal"/>
      <w:lvlText w:val="Proposal %2:"/>
      <w:lvlJc w:val="left"/>
      <w:pPr>
        <w:ind w:left="1080" w:hanging="360"/>
      </w:pPr>
      <w:rPr>
        <w:rFonts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5"/>
  </w:num>
  <w:num w:numId="2" w16cid:durableId="1943106378">
    <w:abstractNumId w:val="36"/>
  </w:num>
  <w:num w:numId="3" w16cid:durableId="11735331">
    <w:abstractNumId w:val="30"/>
  </w:num>
  <w:num w:numId="4" w16cid:durableId="1102259893">
    <w:abstractNumId w:val="18"/>
  </w:num>
  <w:num w:numId="5" w16cid:durableId="530342860">
    <w:abstractNumId w:val="21"/>
  </w:num>
  <w:num w:numId="6" w16cid:durableId="2130512404">
    <w:abstractNumId w:val="2"/>
  </w:num>
  <w:num w:numId="7" w16cid:durableId="272589911">
    <w:abstractNumId w:val="1"/>
  </w:num>
  <w:num w:numId="8" w16cid:durableId="1396777579">
    <w:abstractNumId w:val="38"/>
  </w:num>
  <w:num w:numId="9" w16cid:durableId="1238323227">
    <w:abstractNumId w:val="9"/>
  </w:num>
  <w:num w:numId="10" w16cid:durableId="1688098728">
    <w:abstractNumId w:val="14"/>
  </w:num>
  <w:num w:numId="11" w16cid:durableId="529805917">
    <w:abstractNumId w:val="24"/>
  </w:num>
  <w:num w:numId="12" w16cid:durableId="1047802701">
    <w:abstractNumId w:val="15"/>
  </w:num>
  <w:num w:numId="13" w16cid:durableId="1130321655">
    <w:abstractNumId w:val="23"/>
  </w:num>
  <w:num w:numId="14" w16cid:durableId="133956298">
    <w:abstractNumId w:val="0"/>
  </w:num>
  <w:num w:numId="15" w16cid:durableId="916130071">
    <w:abstractNumId w:val="6"/>
  </w:num>
  <w:num w:numId="16" w16cid:durableId="1108234828">
    <w:abstractNumId w:val="26"/>
  </w:num>
  <w:num w:numId="17" w16cid:durableId="912545947">
    <w:abstractNumId w:val="35"/>
  </w:num>
  <w:num w:numId="18" w16cid:durableId="1741516011">
    <w:abstractNumId w:val="11"/>
  </w:num>
  <w:num w:numId="19" w16cid:durableId="1715621559">
    <w:abstractNumId w:val="7"/>
  </w:num>
  <w:num w:numId="20" w16cid:durableId="631984957">
    <w:abstractNumId w:val="4"/>
  </w:num>
  <w:num w:numId="21" w16cid:durableId="1911766885">
    <w:abstractNumId w:val="8"/>
  </w:num>
  <w:num w:numId="22" w16cid:durableId="1372874419">
    <w:abstractNumId w:val="19"/>
  </w:num>
  <w:num w:numId="23" w16cid:durableId="1463576606">
    <w:abstractNumId w:val="27"/>
  </w:num>
  <w:num w:numId="24" w16cid:durableId="169374146">
    <w:abstractNumId w:val="10"/>
  </w:num>
  <w:num w:numId="25" w16cid:durableId="1318074337">
    <w:abstractNumId w:val="22"/>
  </w:num>
  <w:num w:numId="26" w16cid:durableId="579027140">
    <w:abstractNumId w:val="33"/>
  </w:num>
  <w:num w:numId="27" w16cid:durableId="1096752934">
    <w:abstractNumId w:val="12"/>
  </w:num>
  <w:num w:numId="28" w16cid:durableId="1103568600">
    <w:abstractNumId w:val="17"/>
  </w:num>
  <w:num w:numId="29" w16cid:durableId="558443032">
    <w:abstractNumId w:val="5"/>
  </w:num>
  <w:num w:numId="30" w16cid:durableId="512260967">
    <w:abstractNumId w:val="37"/>
  </w:num>
  <w:num w:numId="31" w16cid:durableId="1985695445">
    <w:abstractNumId w:val="32"/>
  </w:num>
  <w:num w:numId="32" w16cid:durableId="1336035549">
    <w:abstractNumId w:val="3"/>
  </w:num>
  <w:num w:numId="33" w16cid:durableId="1579513608">
    <w:abstractNumId w:val="20"/>
  </w:num>
  <w:num w:numId="34" w16cid:durableId="2113551008">
    <w:abstractNumId w:val="29"/>
  </w:num>
  <w:num w:numId="35" w16cid:durableId="1737974853">
    <w:abstractNumId w:val="31"/>
  </w:num>
  <w:num w:numId="36" w16cid:durableId="1534925522">
    <w:abstractNumId w:val="16"/>
  </w:num>
  <w:num w:numId="37" w16cid:durableId="992829720">
    <w:abstractNumId w:val="34"/>
  </w:num>
  <w:num w:numId="38" w16cid:durableId="326135129">
    <w:abstractNumId w:val="28"/>
  </w:num>
  <w:num w:numId="39" w16cid:durableId="195173659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C31"/>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6E3A"/>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5F44"/>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096"/>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5E5"/>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2BA"/>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15"/>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5F06"/>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11F"/>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12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3FC"/>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B7F85"/>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B38"/>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4E1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B33"/>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A8D"/>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8F"/>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743"/>
    <w:rsid w:val="00582BBA"/>
    <w:rsid w:val="00582D3B"/>
    <w:rsid w:val="00582F80"/>
    <w:rsid w:val="00583599"/>
    <w:rsid w:val="00583666"/>
    <w:rsid w:val="00583923"/>
    <w:rsid w:val="0058399B"/>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7E4"/>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4C1"/>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6C6"/>
    <w:rsid w:val="00600701"/>
    <w:rsid w:val="006008C8"/>
    <w:rsid w:val="006009EA"/>
    <w:rsid w:val="00601290"/>
    <w:rsid w:val="00601706"/>
    <w:rsid w:val="00601F4A"/>
    <w:rsid w:val="00602023"/>
    <w:rsid w:val="00602082"/>
    <w:rsid w:val="006020FD"/>
    <w:rsid w:val="0060214F"/>
    <w:rsid w:val="006027E3"/>
    <w:rsid w:val="00602AC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8FE"/>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5EC"/>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3A0"/>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A1"/>
    <w:rsid w:val="006F74DC"/>
    <w:rsid w:val="006F74F5"/>
    <w:rsid w:val="006F7807"/>
    <w:rsid w:val="007002AF"/>
    <w:rsid w:val="007006CE"/>
    <w:rsid w:val="007008E1"/>
    <w:rsid w:val="0070121E"/>
    <w:rsid w:val="00701522"/>
    <w:rsid w:val="0070158A"/>
    <w:rsid w:val="00701989"/>
    <w:rsid w:val="00701D34"/>
    <w:rsid w:val="00701D6D"/>
    <w:rsid w:val="00701DA7"/>
    <w:rsid w:val="0070237E"/>
    <w:rsid w:val="007027A3"/>
    <w:rsid w:val="00702E3E"/>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6A0"/>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3F3"/>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11"/>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92"/>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F7"/>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865"/>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999"/>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0A4B"/>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506"/>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633"/>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6EF6"/>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383"/>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133"/>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07B5"/>
    <w:rsid w:val="00A9123F"/>
    <w:rsid w:val="00A916B8"/>
    <w:rsid w:val="00A91B4E"/>
    <w:rsid w:val="00A92008"/>
    <w:rsid w:val="00A92047"/>
    <w:rsid w:val="00A922A9"/>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1DC"/>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10E"/>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47D"/>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256"/>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0F68"/>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25D"/>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0E95"/>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8006A"/>
    <w:rsid w:val="00C8009E"/>
    <w:rsid w:val="00C801FE"/>
    <w:rsid w:val="00C80555"/>
    <w:rsid w:val="00C80F07"/>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4AE"/>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E3F"/>
    <w:rsid w:val="00D22E78"/>
    <w:rsid w:val="00D22FC3"/>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56EB"/>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2BB3"/>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242"/>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5D9"/>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3F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5E"/>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3A0"/>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316"/>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53"/>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488"/>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136"/>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2B5"/>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5E40"/>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61E"/>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2F4D"/>
    <w:rsid w:val="00FF3009"/>
    <w:rsid w:val="00FF32FC"/>
    <w:rsid w:val="00FF39F7"/>
    <w:rsid w:val="00FF3C94"/>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D0A56-35EC-41F0-A7F9-A0887C639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elements/1.1/"/>
    <ds:schemaRef ds:uri="http://schemas.openxmlformats.org/package/2006/metadata/core-properties"/>
    <ds:schemaRef ds:uri="http://schemas.microsoft.com/office/2006/metadata/properties"/>
    <ds:schemaRef ds:uri="9b239327-9e80-40e4-b1b7-4394fed77a33"/>
    <ds:schemaRef ds:uri="http://schemas.microsoft.com/office/infopath/2007/PartnerControls"/>
    <ds:schemaRef ds:uri="d8762117-8292-4133-b1c7-eab5c6487cfd"/>
    <ds:schemaRef ds:uri="2f282d3b-eb4a-4b09-b61f-b9593442e286"/>
    <ds:schemaRef ds:uri="http://schemas.microsoft.com/office/2006/documentManagement/types"/>
    <ds:schemaRef ds:uri="http://schemas.microsoft.com/sharepoint/v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7590</TotalTime>
  <Pages>1</Pages>
  <Words>219</Words>
  <Characters>1027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1502</cp:revision>
  <cp:lastPrinted>2022-09-30T11:23:00Z</cp:lastPrinted>
  <dcterms:created xsi:type="dcterms:W3CDTF">2022-08-12T14:20:00Z</dcterms:created>
  <dcterms:modified xsi:type="dcterms:W3CDTF">2024-05-13T15:45:00Z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